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D3D4" w14:textId="0675CCB1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6D9B78A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D61E0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2D6BA0" w14:textId="77777777" w:rsidR="005D0CE7" w:rsidRDefault="005D0CE7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7FF86D" w14:textId="7460AF2E"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A6A189B" w14:textId="77777777"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033ED631" w14:textId="77777777"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ABCE26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6105211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724B">
        <w:rPr>
          <w:rFonts w:ascii="Times New Roman" w:hAnsi="Times New Roman" w:cs="Times New Roman"/>
          <w:sz w:val="28"/>
          <w:szCs w:val="28"/>
        </w:rPr>
        <w:t>.</w:t>
      </w:r>
      <w:r w:rsidR="00FA287D">
        <w:rPr>
          <w:rFonts w:ascii="Times New Roman" w:hAnsi="Times New Roman" w:cs="Times New Roman"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3B28FA84" w14:textId="77777777" w:rsidR="00625552" w:rsidRPr="0083724B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14:paraId="2E1F7777" w14:textId="1B8B59D4" w:rsidR="00625552" w:rsidRPr="00C72C02" w:rsidRDefault="00EA01A4" w:rsidP="00625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2C0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A921A1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72C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F4C0A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1A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8C4508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B61" w:rsidRPr="00C72C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556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</w:t>
      </w:r>
      <w:r w:rsidR="006F4C0A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D0CE7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94EC4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159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25552" w:rsidRPr="00C72C0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D0CE7" w:rsidRPr="00C7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1A1">
        <w:rPr>
          <w:rFonts w:ascii="Times New Roman" w:hAnsi="Times New Roman" w:cs="Times New Roman"/>
          <w:b/>
          <w:bCs/>
          <w:sz w:val="28"/>
          <w:szCs w:val="28"/>
        </w:rPr>
        <w:t>59</w:t>
      </w:r>
    </w:p>
    <w:p w14:paraId="1143B41E" w14:textId="1B41D0EE" w:rsidR="003171F4" w:rsidRPr="00EC13E2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Об определении случаев банковского сопровождения контрактов</w:t>
      </w:r>
    </w:p>
    <w:p w14:paraId="5C7AEE76" w14:textId="1D5EF680" w:rsidR="003171F4" w:rsidRPr="004570F6" w:rsidRDefault="003171F4" w:rsidP="00EC13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</w:t>
      </w:r>
      <w:r w:rsidR="00B23324" w:rsidRPr="004570F6"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Pr="004570F6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B23324" w:rsidRPr="004570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7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324" w:rsidRPr="004570F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Pr="004570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731AFCC1" w14:textId="4F62FB72" w:rsidR="003171F4" w:rsidRPr="00E00A3C" w:rsidRDefault="003171F4" w:rsidP="00EC13E2">
      <w:pPr>
        <w:shd w:val="clear" w:color="auto" w:fill="FFFFFF"/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B23324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</w:p>
    <w:p w14:paraId="6D5F7AC9" w14:textId="77777777" w:rsidR="003171F4" w:rsidRPr="004570F6" w:rsidRDefault="003171F4" w:rsidP="00EC13E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F6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осуществления банковского сопровождения контрактов (Приложение № 1).</w:t>
      </w:r>
    </w:p>
    <w:p w14:paraId="02F668D5" w14:textId="7D807BE4" w:rsidR="003171F4" w:rsidRPr="004570F6" w:rsidRDefault="003171F4" w:rsidP="003171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F6">
        <w:rPr>
          <w:rFonts w:ascii="Times New Roman" w:eastAsia="Times New Roman" w:hAnsi="Times New Roman" w:cs="Times New Roman"/>
          <w:sz w:val="28"/>
          <w:szCs w:val="28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B23324" w:rsidRPr="004570F6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4570F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14:paraId="2447D4CA" w14:textId="09DD1B74" w:rsidR="004570F6" w:rsidRPr="004570F6" w:rsidRDefault="004570F6" w:rsidP="0045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905473"/>
      <w:r w:rsidRPr="004570F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 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570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0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BB0F23" w14:textId="45CF5932" w:rsidR="004570F6" w:rsidRPr="004570F6" w:rsidRDefault="004570F6" w:rsidP="004570F6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905409"/>
      <w:r w:rsidRPr="004570F6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администрации городского поселения «Забайкальское»</w:t>
      </w:r>
      <w:r w:rsidRPr="004570F6">
        <w:rPr>
          <w:rFonts w:ascii="Times New Roman" w:hAnsi="Times New Roman" w:cs="Times New Roman"/>
        </w:rPr>
        <w:t xml:space="preserve"> </w:t>
      </w:r>
      <w:r w:rsidRPr="004570F6">
        <w:rPr>
          <w:rFonts w:ascii="Times New Roman" w:hAnsi="Times New Roman" w:cs="Times New Roman"/>
          <w:sz w:val="28"/>
          <w:szCs w:val="28"/>
        </w:rPr>
        <w:t>и в информационном вестнике «Вести Забайкальска».</w:t>
      </w:r>
    </w:p>
    <w:bookmarkEnd w:id="1"/>
    <w:p w14:paraId="685063E5" w14:textId="77777777" w:rsidR="003171F4" w:rsidRPr="00E00A3C" w:rsidRDefault="003171F4" w:rsidP="004570F6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 исполнением настоящего постановления оставляю за собой</w:t>
      </w:r>
    </w:p>
    <w:bookmarkEnd w:id="2"/>
    <w:p w14:paraId="6F153C67" w14:textId="555F36DF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455C6D1" w14:textId="0BE17A53" w:rsidR="003171F4" w:rsidRPr="00EC13E2" w:rsidRDefault="007C33EA" w:rsidP="00B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 г</w:t>
      </w:r>
      <w:r w:rsidR="00B23324"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ы</w:t>
      </w:r>
      <w:r w:rsidR="00B23324"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городского поселения </w:t>
      </w:r>
    </w:p>
    <w:p w14:paraId="25F2125F" w14:textId="48D97AF4" w:rsidR="00B23324" w:rsidRPr="00EC13E2" w:rsidRDefault="00B23324" w:rsidP="00B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«</w:t>
      </w:r>
      <w:proofErr w:type="gramStart"/>
      <w:r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Забайкальское»   </w:t>
      </w:r>
      <w:proofErr w:type="gramEnd"/>
      <w:r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                                                    </w:t>
      </w:r>
      <w:r w:rsidR="00A921A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Е.П. Орлова</w:t>
      </w:r>
    </w:p>
    <w:p w14:paraId="79B92CDE" w14:textId="77777777" w:rsidR="003171F4" w:rsidRPr="00EC13E2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EC13E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 </w:t>
      </w:r>
    </w:p>
    <w:p w14:paraId="785158BB" w14:textId="5B059737" w:rsidR="00B23324" w:rsidRDefault="00B23324" w:rsidP="003171F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0087094D" w14:textId="577C8D29" w:rsidR="007C33EA" w:rsidRDefault="007C33EA" w:rsidP="003171F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58EF5F5" w14:textId="40C8F44F" w:rsidR="003171F4" w:rsidRPr="00E00A3C" w:rsidRDefault="003171F4" w:rsidP="00B2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Приложение № 1</w:t>
      </w:r>
    </w:p>
    <w:p w14:paraId="0FCEF9F9" w14:textId="77777777" w:rsidR="00B23324" w:rsidRDefault="003171F4" w:rsidP="00B2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 постановлению администрации </w:t>
      </w:r>
      <w:r w:rsidR="00B23324">
        <w:rPr>
          <w:rFonts w:ascii="Times New Roman" w:eastAsia="Times New Roman" w:hAnsi="Times New Roman" w:cs="Times New Roman"/>
          <w:color w:val="282828"/>
          <w:sz w:val="28"/>
          <w:szCs w:val="28"/>
        </w:rPr>
        <w:t>городского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14:paraId="087EA002" w14:textId="7A4DA564" w:rsidR="003171F4" w:rsidRPr="00E00A3C" w:rsidRDefault="003171F4" w:rsidP="00B2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поселения </w:t>
      </w:r>
      <w:r w:rsidR="00B23324">
        <w:rPr>
          <w:rFonts w:ascii="Times New Roman" w:eastAsia="Times New Roman" w:hAnsi="Times New Roman" w:cs="Times New Roman"/>
          <w:color w:val="282828"/>
          <w:sz w:val="28"/>
          <w:szCs w:val="28"/>
        </w:rPr>
        <w:t>«Забайкальское»</w:t>
      </w:r>
    </w:p>
    <w:p w14:paraId="7CCD24B2" w14:textId="74C097A8" w:rsidR="003171F4" w:rsidRPr="00E00A3C" w:rsidRDefault="003171F4" w:rsidP="00B233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от «</w:t>
      </w:r>
      <w:r w:rsidR="002D5334">
        <w:rPr>
          <w:rFonts w:ascii="Times New Roman" w:eastAsia="Times New Roman" w:hAnsi="Times New Roman" w:cs="Times New Roman"/>
          <w:color w:val="282828"/>
          <w:sz w:val="28"/>
          <w:szCs w:val="28"/>
        </w:rPr>
        <w:t>14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» </w:t>
      </w:r>
      <w:r w:rsidR="002D5334">
        <w:rPr>
          <w:rFonts w:ascii="Times New Roman" w:eastAsia="Times New Roman" w:hAnsi="Times New Roman" w:cs="Times New Roman"/>
          <w:color w:val="282828"/>
          <w:sz w:val="28"/>
          <w:szCs w:val="28"/>
        </w:rPr>
        <w:t>февраля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202</w:t>
      </w:r>
      <w:r w:rsidR="002D5334">
        <w:rPr>
          <w:rFonts w:ascii="Times New Roman" w:eastAsia="Times New Roman" w:hAnsi="Times New Roman" w:cs="Times New Roman"/>
          <w:color w:val="282828"/>
          <w:sz w:val="28"/>
          <w:szCs w:val="28"/>
        </w:rPr>
        <w:t>4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г. № </w:t>
      </w:r>
      <w:r w:rsidR="002D5334">
        <w:rPr>
          <w:rFonts w:ascii="Times New Roman" w:eastAsia="Times New Roman" w:hAnsi="Times New Roman" w:cs="Times New Roman"/>
          <w:color w:val="282828"/>
          <w:sz w:val="28"/>
          <w:szCs w:val="28"/>
        </w:rPr>
        <w:t>59</w:t>
      </w:r>
    </w:p>
    <w:p w14:paraId="6505B4CD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 </w:t>
      </w:r>
    </w:p>
    <w:p w14:paraId="26F60B4B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Порядок осуществления банковского сопровождения контрактов</w:t>
      </w:r>
    </w:p>
    <w:p w14:paraId="481C0886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I. </w:t>
      </w: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Общие положения</w:t>
      </w:r>
    </w:p>
    <w:p w14:paraId="767FD312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20D143F1" w14:textId="77777777" w:rsidR="003171F4" w:rsidRPr="00E00A3C" w:rsidRDefault="003171F4" w:rsidP="00317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14:paraId="17282555" w14:textId="77777777" w:rsidR="003171F4" w:rsidRPr="00E00A3C" w:rsidRDefault="003171F4" w:rsidP="003171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Для целей настоящего Порядка используются следующие понятия:</w:t>
      </w:r>
    </w:p>
    <w:p w14:paraId="7A2CEADE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14:paraId="283B414F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14:paraId="04453484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14:paraId="6DFC63FF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069528BF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II. Условия осуществления банковского сопровождения контрактов</w:t>
      </w:r>
    </w:p>
    <w:p w14:paraId="2348EBA6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3F8504FD" w14:textId="77777777" w:rsidR="003171F4" w:rsidRPr="00E00A3C" w:rsidRDefault="003171F4" w:rsidP="003171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14:paraId="6D1D34E6" w14:textId="77777777" w:rsidR="003171F4" w:rsidRPr="00E00A3C" w:rsidRDefault="003171F4" w:rsidP="003171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 случаях, указанных в приложении № 2 к настоящему постановлению, в сопровождаемый контракт включаются условия:</w:t>
      </w:r>
    </w:p>
    <w:p w14:paraId="14835757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14:paraId="0DBA5AC8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об ответственности поставщика за несоблюдение условий, установленных настоящим пунктом.</w:t>
      </w:r>
    </w:p>
    <w:p w14:paraId="41396AA5" w14:textId="77777777" w:rsidR="003171F4" w:rsidRPr="00E00A3C" w:rsidRDefault="003171F4" w:rsidP="003171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14:paraId="52BD1A6D" w14:textId="77777777" w:rsidR="003171F4" w:rsidRPr="00E00A3C" w:rsidRDefault="003171F4" w:rsidP="003171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14:paraId="3BABA34F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предмет сопровождаемого контракта;</w:t>
      </w:r>
    </w:p>
    <w:p w14:paraId="42A4F420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14:paraId="4D365514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14:paraId="386AB7DC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г) полномочия банка, предусмотренные пунктом 10 настоящего Порядка.</w:t>
      </w:r>
    </w:p>
    <w:p w14:paraId="711C335C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61EB325A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III. Требования к банкам и порядку их отбора</w:t>
      </w:r>
    </w:p>
    <w:p w14:paraId="16F7901F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 </w:t>
      </w:r>
    </w:p>
    <w:p w14:paraId="3260BE8B" w14:textId="4159AB45" w:rsidR="003171F4" w:rsidRPr="00E00A3C" w:rsidRDefault="003171F4" w:rsidP="003171F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7C33E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городского 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поселения</w:t>
      </w:r>
      <w:r w:rsidR="007C33E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«Забайкальское» муниципального района «Забайкальский район»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14:paraId="447AA6B3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3059F074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IV. Условия договора обособленного счета, заключаемого с банком</w:t>
      </w:r>
    </w:p>
    <w:p w14:paraId="056A5A4D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5C16EC60" w14:textId="77777777" w:rsidR="003171F4" w:rsidRPr="00E00A3C" w:rsidRDefault="003171F4" w:rsidP="003171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14:paraId="767705C0" w14:textId="77777777" w:rsidR="003171F4" w:rsidRPr="00E00A3C" w:rsidRDefault="003171F4" w:rsidP="003171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14:paraId="4F247FA6" w14:textId="77777777" w:rsidR="003171F4" w:rsidRPr="00E00A3C" w:rsidRDefault="003171F4" w:rsidP="003171F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14:paraId="4641E888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  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14:paraId="69829274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14:paraId="51395F4E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210A1425" w14:textId="77777777" w:rsidR="003171F4" w:rsidRPr="00E00A3C" w:rsidRDefault="003171F4" w:rsidP="003171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V. Требования к содержанию формируемых банками отчетов</w:t>
      </w:r>
    </w:p>
    <w:p w14:paraId="1AB39CFF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779A9609" w14:textId="77777777" w:rsidR="003171F4" w:rsidRPr="00E00A3C" w:rsidRDefault="003171F4" w:rsidP="003171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14:paraId="007AC857" w14:textId="77777777" w:rsidR="003171F4" w:rsidRPr="00E00A3C" w:rsidRDefault="003171F4" w:rsidP="003171F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14:paraId="016468D5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14:paraId="041661D7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14:paraId="69B42564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в)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 иную информацию, предусмотренную контрактом.</w:t>
      </w:r>
    </w:p>
    <w:p w14:paraId="3F0B6C4E" w14:textId="77777777" w:rsidR="003171F4" w:rsidRPr="00E00A3C" w:rsidRDefault="003171F4" w:rsidP="003171F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14:paraId="3446BA30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186192B7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724630B2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6D80F15E" w14:textId="242E84F9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06B88695" w14:textId="77777777" w:rsidR="003171F4" w:rsidRPr="00E00A3C" w:rsidRDefault="003171F4" w:rsidP="00A92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Приложение № 2</w:t>
      </w:r>
    </w:p>
    <w:p w14:paraId="0A12822A" w14:textId="77777777" w:rsidR="00E52D5F" w:rsidRDefault="003171F4" w:rsidP="00A92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 постановлению администрации </w:t>
      </w:r>
    </w:p>
    <w:p w14:paraId="700FB71A" w14:textId="28D52A41" w:rsidR="003171F4" w:rsidRPr="00E00A3C" w:rsidRDefault="00E52D5F" w:rsidP="00A92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городского</w:t>
      </w:r>
      <w:r w:rsidR="003171F4"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«Забайкальское»</w:t>
      </w:r>
    </w:p>
    <w:p w14:paraId="25F04A65" w14:textId="3FF8640B" w:rsidR="003171F4" w:rsidRPr="00E00A3C" w:rsidRDefault="003171F4" w:rsidP="00A92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от «1</w:t>
      </w:r>
      <w:r w:rsidR="00E52D5F">
        <w:rPr>
          <w:rFonts w:ascii="Times New Roman" w:eastAsia="Times New Roman" w:hAnsi="Times New Roman" w:cs="Times New Roman"/>
          <w:color w:val="282828"/>
          <w:sz w:val="28"/>
          <w:szCs w:val="28"/>
        </w:rPr>
        <w:t>4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» </w:t>
      </w:r>
      <w:r w:rsidR="00E52D5F">
        <w:rPr>
          <w:rFonts w:ascii="Times New Roman" w:eastAsia="Times New Roman" w:hAnsi="Times New Roman" w:cs="Times New Roman"/>
          <w:color w:val="282828"/>
          <w:sz w:val="28"/>
          <w:szCs w:val="28"/>
        </w:rPr>
        <w:t>февраля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202</w:t>
      </w:r>
      <w:r w:rsidR="00E52D5F">
        <w:rPr>
          <w:rFonts w:ascii="Times New Roman" w:eastAsia="Times New Roman" w:hAnsi="Times New Roman" w:cs="Times New Roman"/>
          <w:color w:val="282828"/>
          <w:sz w:val="28"/>
          <w:szCs w:val="28"/>
        </w:rPr>
        <w:t>4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г. № </w:t>
      </w:r>
      <w:r w:rsidR="00E52D5F">
        <w:rPr>
          <w:rFonts w:ascii="Times New Roman" w:eastAsia="Times New Roman" w:hAnsi="Times New Roman" w:cs="Times New Roman"/>
          <w:color w:val="282828"/>
          <w:sz w:val="28"/>
          <w:szCs w:val="28"/>
        </w:rPr>
        <w:t>59</w:t>
      </w:r>
    </w:p>
    <w:p w14:paraId="0E62D88A" w14:textId="77777777" w:rsidR="003171F4" w:rsidRPr="00E00A3C" w:rsidRDefault="003171F4" w:rsidP="003171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14:paraId="0119E36E" w14:textId="454AC31D" w:rsidR="003171F4" w:rsidRPr="00E00A3C" w:rsidRDefault="003171F4" w:rsidP="0076216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76216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городского 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поселения </w:t>
      </w:r>
      <w:r w:rsidR="00762160">
        <w:rPr>
          <w:rFonts w:ascii="Times New Roman" w:eastAsia="Times New Roman" w:hAnsi="Times New Roman" w:cs="Times New Roman"/>
          <w:color w:val="282828"/>
          <w:sz w:val="28"/>
          <w:szCs w:val="28"/>
        </w:rPr>
        <w:t>«Забайкальское» муниципального района «Забайкальский район».</w:t>
      </w:r>
    </w:p>
    <w:p w14:paraId="59369667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14:paraId="1E34C40A" w14:textId="7B123ECB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а)   </w:t>
      </w:r>
      <w:proofErr w:type="gramEnd"/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   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</w:t>
      </w:r>
      <w:r w:rsidR="0076216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городского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поселения </w:t>
      </w:r>
      <w:r w:rsidR="00762160">
        <w:rPr>
          <w:rFonts w:ascii="Times New Roman" w:eastAsia="Times New Roman" w:hAnsi="Times New Roman" w:cs="Times New Roman"/>
          <w:color w:val="282828"/>
          <w:sz w:val="28"/>
          <w:szCs w:val="28"/>
        </w:rPr>
        <w:t>«Забайкальское»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муниципального района </w:t>
      </w:r>
      <w:r w:rsidR="00762160">
        <w:rPr>
          <w:rFonts w:ascii="Times New Roman" w:eastAsia="Times New Roman" w:hAnsi="Times New Roman" w:cs="Times New Roman"/>
          <w:color w:val="282828"/>
          <w:sz w:val="28"/>
          <w:szCs w:val="28"/>
        </w:rPr>
        <w:t>«Забайкальский район»</w:t>
      </w: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, не предусматривающими предоставление аванса поставщику;</w:t>
      </w:r>
    </w:p>
    <w:p w14:paraId="695171AC" w14:textId="77777777" w:rsidR="003171F4" w:rsidRPr="00E00A3C" w:rsidRDefault="003171F4" w:rsidP="003171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00A3C">
        <w:rPr>
          <w:rFonts w:ascii="Times New Roman" w:eastAsia="Times New Roman" w:hAnsi="Times New Roman" w:cs="Times New Roman"/>
          <w:color w:val="282828"/>
          <w:sz w:val="28"/>
          <w:szCs w:val="28"/>
        </w:rPr>
        <w:t>б)      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14:paraId="33F3A11C" w14:textId="136B2A55" w:rsidR="00F51C43" w:rsidRPr="00E00A3C" w:rsidRDefault="00F51C43" w:rsidP="003171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C43" w:rsidRPr="00E00A3C" w:rsidSect="004B6D3E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E56"/>
    <w:multiLevelType w:val="multilevel"/>
    <w:tmpl w:val="F9B07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97D06"/>
    <w:multiLevelType w:val="multilevel"/>
    <w:tmpl w:val="2D5208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934BD"/>
    <w:multiLevelType w:val="multilevel"/>
    <w:tmpl w:val="0D3CF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267D1"/>
    <w:multiLevelType w:val="multilevel"/>
    <w:tmpl w:val="298E8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5958"/>
    <w:multiLevelType w:val="multilevel"/>
    <w:tmpl w:val="7DD24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34E73721"/>
    <w:multiLevelType w:val="multilevel"/>
    <w:tmpl w:val="695C8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67CB0"/>
    <w:multiLevelType w:val="multilevel"/>
    <w:tmpl w:val="702A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91F80"/>
    <w:multiLevelType w:val="multilevel"/>
    <w:tmpl w:val="5460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58DD6A76"/>
    <w:multiLevelType w:val="hybridMultilevel"/>
    <w:tmpl w:val="8F843096"/>
    <w:lvl w:ilvl="0" w:tplc="F76C736C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E"/>
    <w:rsid w:val="000529F1"/>
    <w:rsid w:val="000663DD"/>
    <w:rsid w:val="00080465"/>
    <w:rsid w:val="00093A38"/>
    <w:rsid w:val="000944B6"/>
    <w:rsid w:val="00095F6E"/>
    <w:rsid w:val="00096B58"/>
    <w:rsid w:val="000973E4"/>
    <w:rsid w:val="000B70CC"/>
    <w:rsid w:val="000D35B4"/>
    <w:rsid w:val="000E7971"/>
    <w:rsid w:val="000F3566"/>
    <w:rsid w:val="00170111"/>
    <w:rsid w:val="001A2ED5"/>
    <w:rsid w:val="001A610E"/>
    <w:rsid w:val="001B1595"/>
    <w:rsid w:val="001D359C"/>
    <w:rsid w:val="0020080C"/>
    <w:rsid w:val="002231B5"/>
    <w:rsid w:val="00274D5F"/>
    <w:rsid w:val="002A2349"/>
    <w:rsid w:val="002A7200"/>
    <w:rsid w:val="002D5334"/>
    <w:rsid w:val="003160EB"/>
    <w:rsid w:val="003171F4"/>
    <w:rsid w:val="0035595E"/>
    <w:rsid w:val="003E1071"/>
    <w:rsid w:val="0043720F"/>
    <w:rsid w:val="00445DBE"/>
    <w:rsid w:val="004570F6"/>
    <w:rsid w:val="004702F4"/>
    <w:rsid w:val="0047046E"/>
    <w:rsid w:val="0047577A"/>
    <w:rsid w:val="004B6D3E"/>
    <w:rsid w:val="004F660D"/>
    <w:rsid w:val="005915F6"/>
    <w:rsid w:val="005D0CE7"/>
    <w:rsid w:val="005E3E33"/>
    <w:rsid w:val="00611358"/>
    <w:rsid w:val="00625552"/>
    <w:rsid w:val="00632995"/>
    <w:rsid w:val="00645259"/>
    <w:rsid w:val="006F4C0A"/>
    <w:rsid w:val="00726EDE"/>
    <w:rsid w:val="00730B61"/>
    <w:rsid w:val="00750EC5"/>
    <w:rsid w:val="00762160"/>
    <w:rsid w:val="007C33EA"/>
    <w:rsid w:val="007D35BA"/>
    <w:rsid w:val="0083724B"/>
    <w:rsid w:val="008C4508"/>
    <w:rsid w:val="0094341F"/>
    <w:rsid w:val="0095178B"/>
    <w:rsid w:val="00992B6F"/>
    <w:rsid w:val="009D14C1"/>
    <w:rsid w:val="00A15FAB"/>
    <w:rsid w:val="00A26079"/>
    <w:rsid w:val="00A4131D"/>
    <w:rsid w:val="00A921A1"/>
    <w:rsid w:val="00AE0AE1"/>
    <w:rsid w:val="00B11692"/>
    <w:rsid w:val="00B23324"/>
    <w:rsid w:val="00B35655"/>
    <w:rsid w:val="00B73893"/>
    <w:rsid w:val="00B765BC"/>
    <w:rsid w:val="00B94EC4"/>
    <w:rsid w:val="00B973AD"/>
    <w:rsid w:val="00BA5839"/>
    <w:rsid w:val="00BB3886"/>
    <w:rsid w:val="00C64A3D"/>
    <w:rsid w:val="00C713E2"/>
    <w:rsid w:val="00C72C02"/>
    <w:rsid w:val="00CC7178"/>
    <w:rsid w:val="00D0261C"/>
    <w:rsid w:val="00D310AB"/>
    <w:rsid w:val="00D60DA9"/>
    <w:rsid w:val="00DF03A3"/>
    <w:rsid w:val="00E00A3C"/>
    <w:rsid w:val="00E2512C"/>
    <w:rsid w:val="00E34E26"/>
    <w:rsid w:val="00E52D5F"/>
    <w:rsid w:val="00EA01A4"/>
    <w:rsid w:val="00EB542F"/>
    <w:rsid w:val="00EC13E2"/>
    <w:rsid w:val="00EF107A"/>
    <w:rsid w:val="00F51C43"/>
    <w:rsid w:val="00F5564F"/>
    <w:rsid w:val="00FA287D"/>
    <w:rsid w:val="00FB12F2"/>
    <w:rsid w:val="00FD27F3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7AA"/>
  <w15:docId w15:val="{C3EB6F25-E09C-4B9E-A75A-A6EB3E2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7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0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Пользователь</cp:lastModifiedBy>
  <cp:revision>12</cp:revision>
  <cp:lastPrinted>2024-02-15T07:12:00Z</cp:lastPrinted>
  <dcterms:created xsi:type="dcterms:W3CDTF">2024-02-08T07:05:00Z</dcterms:created>
  <dcterms:modified xsi:type="dcterms:W3CDTF">2024-02-25T06:22:00Z</dcterms:modified>
</cp:coreProperties>
</file>